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ind w:right="41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О внесении изменений в Положение </w:t>
      </w:r>
      <w:r>
        <w:rPr>
          <w:rFonts w:ascii="PT Astra Serif" w:hAnsi="PT Astra Serif" w:eastAsia="PT Astra Serif" w:cs="PT Astra Serif"/>
          <w:sz w:val="26"/>
          <w:szCs w:val="26"/>
        </w:rPr>
        <w:br/>
        <w:t xml:space="preserve">о региональном государственном контроле (надзоре) в сфере туристской индустрии, утвержденное постановлением Правительства Республики Хакасия от 16.07.2025 № 369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ind w:right="4109"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Правительство Республики Хакасия ПОСТАНОВЛЯЕТ: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1. Внести в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Положение о региональном государственном контроле (надзоре) в сфере туристской индустрии, утвержденное постановлением Правительства Республики Хакасия от 16.07.2025 № 369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 (Официальный интернет-порт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ал правовой информации (www.pravo.gov.ru), 17.07.2025, № 1900202507170007), следующие изменения: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1) в пункте 1.4: 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подпункт 1 дополнить абзацами восьмым и девятым следующего содержания: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«с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облюдение порядка обеспечения условий доступности для инвалидов объектов туристской индустрии, подлежащих классификации в соответствии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br/>
        <w:t xml:space="preserve">с законодательством Российской Федерации о туристской деятельности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br/>
        <w:t xml:space="preserve">(за исключением объектов, относящихся к средствам ра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змещения в соответствии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br/>
        <w:t xml:space="preserve">с Федеральным законом от 07.06.2025 № 127-ФЗ «О проведении эксперимента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br/>
        <w:t xml:space="preserve">по предоставлению услуг гостевых домов», и предоставляемых в них услуг), объема и содержания мер по обеспечению условий доступности для инвалидов указанных об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ъектов и предоставляемых в них услуг;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наличие средства размещения по адресу (месту нахождения) объекта недвижимости (здания, сооружения, помещения, земельного участка), в котором в соответствии со сведениями, содержащимися в реестре классифицированных сред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ств размещения, осуществляется деятельность по предоставлению услуг средства размещения, гостиничных услуг.»;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подпункт 2 дополнить словами «, а также соблюдение порядка обеспечения условий доступности для инвалидов объектов туристской индустрии, подлежащих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 классификации в соответствии с законодательством Российской Федерации о туристской деятельности, и предоставляемых в них услуг, объема и содержания мер по обеспечению условий доступности для инвалидов указанных объектов и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предоставляемых в них услуг;»;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по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дпункт 3 дополнить абзацами четвертым и пятым следующего содержания: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«соответствие сведений об аттестации экскурсовода (гида) или гида-переводчика, используемых в рекламе, а также в деятельности, связанной с оказанием услуг экскурсовода (гида) или гида-пер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еводчика, сведениям об аттестации экскурсовода (гида) или гида-переводчика, указанным в едином федеральном реестре экскурсоводов (гидов) и гидов-переводчиков;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наличие ссылки в сети Интернет на запись в едином федеральном реестре экскурсоводов (гидов) и гид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ов-переводчиков, содержащую сведения об экскурсоводе (гиде) и (или) о гиде-переводчике, а также соответствие сведений об аттестации экскурсовода (гида) или гида-переводчика, указанных в информации об оказании услуг экскурсовода (гида) или гида-переводчика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на сайте владельца агрегатора информации об услугах или владельца сервиса размещения объявлений в сети Интернет, аналогичным сведениям, указанным в едином федеральном реестре экскурсоводов (гидов) и гидов-переводчиков.»;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подпункт 4 дополнить абзацами шесты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м и седьмым следующего содержания: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«соответствие сведений об аттестации инструктора-проводника, используемых в рекламе, а также в деятельности, связанной с оказанием услуг инструктора-проводника, сведениям об аттестации инструктора-проводника, указанным в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едином федеральном реестре инструкторов-проводников;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наличие ссылки в сети Интернет на запись в едином федеральном реестре инструкторов-проводников, содержащую сведения об инструкторе-проводнике, а также соответствие сведений об аттестации инструктора-пров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одника, указанных в информации об оказании услуг инструктора-проводника на сайте владельца агрегатора информации об услугах или владельца сервиса размещения объявлений в сети Интернет, аналогичным сведениям, указанным в едином федеральном реестре инструкто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ров-проводников.»;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2) в пункте 1.6: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абзац пятый признать утратившим силу;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в абзаце шестом слова «руководитель департамента развития туризма Министерства» заменить словами «руководитель департамента развития туризма – начальник отдела развития туризма Минис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терства»;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в абзаце седьмом слово «начальник» заменить словами «заместитель начальника»;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3) пункт 2.2 дополнить абзацем пятым следующего содержания: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«Объект контроля считается отнесенным к одной из категорий риска после внесения сведений в единый реестр вид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ов контроля.»;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4) пункт 3.4 изложить в следующей редакции: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«3.4. По итогам обобщения правоприменительной практики Министерство обеспечивает подготовку доклада, содержащего результаты обобщения правоприменительной практики (далее – доклад), и публичное обсу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ждение его проекта. Доклад должен быть подготовлен не позднее 01 марта года, следующего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br/>
        <w:t xml:space="preserve">за отчетным годом, утвержден приказом Министерства до 12 марта и размещен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br/>
        <w:t xml:space="preserve">на Официальном портале не позднее трех рабочих дней со дня его утверждения.»;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5) пункт 3.11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после слов «посредством видео-конференц-связи,» дополнить словами «использования мобильного приложения «Инспектор»,», слова «или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публичного мероприятия» исключить;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6) в пункте 3.12 слова «при личном обращении в Министерство либо» исключить;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7) абзац третий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 пункта 3.20 после слов «профилактические визиты» дополнить словами «, предусмотренные пунктом 1 части 1 статьи 52.1  Федерального закона № 248-ФЗ,»;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8) в пункте 3.21 слова «представивших уведомление о начале осуществления отдельных видов предпринимательск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ой деятельности в соответствии со статьей 8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отношении деятельност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и по предоставлению гостиничных услуг, а также услуг по временному размещению и обеспечению временного проживания, в срок не позднее шести месяцев с даты представления такого уведомления» заменить словами «, сведения о которых включены в реестр классифицир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ованных средств размещения»;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9) подпункт 1 пункта 4.2 дополнить абзацем шестым следующего содержания: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«мониторинговая закупка»;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10) дополнить пунктом 4.2.1 следующего содержания: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«4.2.1. Контрольные (надзорные) действия, совершаемые в ходе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КНМ,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проводятся должностными лицами Министерства в соответствии со статьями 76–80, 82, 84, 85 Федерального закона № 248-ФЗ: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осмотр;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досмотр;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опрос;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получение письменных объяснений;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истребование документов;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инструментальное обследование;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экспертиза;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эксперимент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.»;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11) в пункте 4.3: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абзаце первом слова «Задание включает перечень обязательных требований, оценка соблюдения которых осуществляется в рамках регионального государственного контроля (надзора), сроки проведения соответствующего наблюдения за соблюдением о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бязательных требований, перечень сведений, представляемых должностным лицам Министерства, осуществляющим наблюдение за соблюдением обязательных требований, по результатам осуществления наблюдения за соблюдением обязательных требований.» исключить;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абзац вт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орой после слов «кругом лиц),» дополнить словами «в целях оценки соблюдения обязательных требований, предусмотренных подпунктами 1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–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2 пункта 1.4 Положения,»;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12) дополнить пунктами 4.3.1, 4.3.2 следующего содержания: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«4.3.1. Задание на проведение наблюдения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за соблюдением обязательных требований включает перечень обязательных требований, из числа указанных в пункте 1.4 Положения, оценка соблюдения которых осуществляется в рамках наблюдения за соблюдением обязательных требований, сроки проведения соответствую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щего наблюдения за соблюдением обязательных требований,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перечень сведений, представляемых должностным лицом Министерства, осуществляющим наблюдение за соблюдением обязательных требований, по результатам осуществления наблюдения за соблюдением обязательных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требований. Задание должно включать в себя перечень источников, на основании которых поступают сведения, используемые при осуществлении наблюдения за соблюдением (государственные и муниципальные информационные системы, данные из сети Интернет, включая агре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гаторов информации об услугах, сервисы размещения объявлений, социальные сети и иные общедоступные данные.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4.3.2. Задание на проведение выездного обследования включает перечень обязательных требований из числа указанных в подпунктах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1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–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2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пункта 1.4 Положени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я, оценка соблюдения которых осуществляется в рамках выездного обследования, сроки проведения выездного обследования, перечень контролируемых лиц и (или) общедоступных объектов или территорий (открытых для посещения неограниченным кругом лиц), по месту нах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ождения которых проводится выездное обследование, перечень сведений, представляемых должностным лицом Министерства, проводящим выездное обследование, по результатам его проведения.»;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13) пункт 4.4 изложить в следующей редакции: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«4.4. В случае выявления по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результатам наблюдения за соблюдением обязательных требований сведений о готовящихся нарушениях обязательных требований или признаках нарушени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й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 обязательных требований, указанных в пункте 1.4 Положения, за исключением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обязательных требований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,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выявление нарушений которых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во всех случаях </w:t>
      </w:r>
      <w:bookmarkStart w:id="6" w:name="_GoBack"/>
      <w:bookmarkEnd w:id="6"/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представляет собой законченное событие нарушения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и влечет необходимость принятия решения, предусмотренного пунктом 4.5 Положения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(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абзац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ы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второ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й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 пят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ый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 шесто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й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подпункта 1, подпункт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2, абзац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ы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трет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ий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 пят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ый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(в части доведения до сведения туристов (экскурсантов) в наглядной и доступной форме (информационный стенд, доска объявлений, сайт в сети Интернет, страница в социальных сетя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х либо страница сайта в сети Интернет владельца агрегатора информации об услугах) ссылки на реестровую запись (реестровые записи) об инструкторе-проводнике (инструкторах-проводниках), сопровождающем (сопровождающих) туристов (экскурсантов) при прохождении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туристского маршрута, в едином федеральном реестре инструкторов-проводников) подпункта 4 пункта 1.4 Положения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)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, Министерство составляет акт контрольного (надзорного) мероприятия и принимает одно из следующих решений: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выдает предостережение о необходимости с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облюдения обязательных требований;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принимает решение о проведении контрольного (надзорного) мероприятия, предусматривающего взаимодействие с контролируемым лицом,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</w:rPr>
        <w:t xml:space="preserve">с учетом настоящего раздела и статьей 60 Федерального закона № 248-ФЗ.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»;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14) абзац первый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пун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кта 4.5 изложить в следующей редакции: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«4.5. В случае выявления по результатам наблюдения за соблюдением обязательных требований фактов причинения вреда (ущерба) или возникновения угрозы причинения вреда (ущерба) охраняемым законом ценностям, сведени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й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о на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рушениях обязательных требований,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</w:rPr>
        <w:t xml:space="preserve">указанных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пункте 1.4 Положения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 Министерство составляет акт контрольного (надзорного) мероприятия и выдает контролируемому лицу предписание об устранении выявленных нарушений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обязательных требований.»;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15) в пункте 4.6 ц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ифры «4.3» заменить цифрами «4.3.2»;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16) в пункте 4.8 слова «в пункте 1.4» заменить словами «в абзацах втором, седьмом (в части наличия действующей классификации средства размещения) подпункта 1 пункта 1.4»;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17) пункт 4.9 изложить в следующей редакции: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«4.9. В случае выявления по результатам выездного обследования признаков нарушения обязательных требований, указанных в подпункте 1 пункта 1.4 Положения, Министерство составляет акт контрольного (надзорного) мероприятия и выдает предписание об устранении в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ыявленных нарушений обязательных требований.»;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18) пункт 4.10 дополнить словами «, в том числе в случаях, предусмотренных пунктами 4.4, 4.8 Положения.»;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19) пункт 4.12 после слов «технических средствах» дополнить словами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br/>
        <w:t xml:space="preserve">«, в том числе мобильного приложен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ия «Инспектор»,»;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20) пункт 4.14 дополнить подпунктами 3–4 следующего содержания: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«3) получение письменных объяснений (при выявлении нарушений обязательных требований);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4) опрос (при выявлении нарушений обязательных требований).»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21) пункт 4.15 дополнить словами «в целях оценки соблюдения обязательных требований, указанных в абзацах втором, седьмом (в части наличия действующей классификации средства размещения) подпункта 1, абзаце втором подпункта 3, абзацах втором, четвертом подпу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нкта 4 пункта 1.4 Положения»;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22) в пункте 4.22: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в абзаце первом слова «В ходе» заменить словами «Если имеющихся в распоряжении у контрольного (надзорного) органа сведений и документов недостаточно, то в ходе»;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дополнить абзацем четвертым следующего содерж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ания: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«Документы могут представляться контролируемыми лицами с использованием ЕПГУ или мобильного приложения «Инспектор».»;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23) пункт 4.23 изложить в следующей редакции: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«4.23. Выездная проверка проводится в порядке, установленном статьей 73 Федерального з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акона № 248-ФЗ. В ходе выездной проверки могут совершаться следующие контрольные (надзорные) действия:</w:t>
      </w:r>
      <w:r>
        <w:rPr>
          <w:rFonts w:ascii="PT Astra Serif" w:hAnsi="PT Astra Serif" w:cs="PT Astra Serif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1) получение письменных объяснений;</w:t>
      </w:r>
      <w:r>
        <w:rPr>
          <w:rFonts w:ascii="PT Astra Serif" w:hAnsi="PT Astra Serif" w:cs="PT Astra Serif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2) истребование документов;</w:t>
      </w:r>
      <w:r>
        <w:rPr>
          <w:rFonts w:ascii="PT Astra Serif" w:hAnsi="PT Astra Serif" w:cs="PT Astra Serif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3) экспертиза;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4) осмотр;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5) досмотр;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6) опрос;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7) инструментальное обследование;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8) эксп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еримент.»;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24) в подпункте 2 пункта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</w:rPr>
        <w:t xml:space="preserve"> 4.24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слова «в пунктах 4.3–4.9, 4.14–4.22» заменить словами «в пункте 4.2 (за исключением абзаца пятого подпункта 1 пункта 4.2) Положения»;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25) пункт 4.26 дополнить абзацем вторым следующего содержания: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«4.26.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Действие требований, установленных абзацем первым настоящего пункта в отношении сроков проведения выездных проверок и сроков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взаимодействия с субъектами малого предпринимательства в ходе проведения выездных проверок, распространяется на социально ориентиро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24.07.2007 № 209-ФЗ «О развитии малого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 и среднего предпринимательства в Российской Федерации» для малых предприятий, а в части проведения выездных проверок микропредприятий - на социально ориентированные некоммерческие организации, среднесписочная численность работников которых за предшествующ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ий календарный год не превышает предельного значения, установленного указанным пунктом для микропредприятий. Действие положений настоящей части распространяется на социально ориентированные некоммерческие организации, включенные в реестр социально ориентир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ованных некоммерческих организаций, сформированный в соответствии с подпунктом 19.6 пункта 1 статьи 265 Налогового кодекса Российской Федерации.»;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26) дополнить пунктами 4.27–4.34 следующего содержания: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«4.27. В ходе мониторинговой закупки могут совершатьс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я следующие контрольные (надзорные) действия: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1) осмотр;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2) опрос;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3) эксперимент;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4) инструментальное обследование;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5) истребование документов.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4.28. Мониторинговая закупка проводится в соответствии со статьей 68 Федерального закона № 248-ФЗ в целях оценк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и соблюдения обязательных требований, указанных в абзацах втором – пятом, седьмом (в части наличия действующей классификации средства размещения) подпункта 1, подпунктах 2–4 пункта 1.4 Положения.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4.29. Мониторинговая закупка проводится по месту осуществлен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ия деятельности контролируемого лица, либо по месту нахождения объекта контроля, либо с использованием почтовой связи, информационно-телекоммуникационных сетей, в том числе сети Интернет, а также сетей связи для трансляции телеканалов и (или) радиоканалов.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4.30. Эксперимент проводится должностным лицом Министерства по месту нахождения (осуществления деятельности) контролируемого лица (его филиалов, представительств, обособленных структурных подразделений) или с использованием средств дистанционного в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заимодействия, в том числе посредством видео-конференц-связи, а также с использованием мобильного приложения «Инспектор» непосредственно в ходе проведения контрольного (надзорного) мероприятия.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4.31.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Эксперимент проводится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с целью оценки соблюдения контрол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ируемым лицом обязательных требований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путем создания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должностным лицом Министерства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тест-ситуации оплаты услуг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, связанных с использованием средств размещения, экскурсоводов (гидов), гидов-переводчиков, инструкторов-проводников, горнолыжных трасс, пляжей, в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ладельцев агрегаторов информации об услугах, владельцев сервисов объявлений в сети Интернет в части размещения информации о предоставлении услуг средств размещения, гостиничных услуг, с использованием наличных денежных средств либо путем безналичных расчет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ов.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4.32. Срок проведения эксперимента не превышает один рабочий день. По результатам проведения эксперимента должностное лицо Министерства составляет акт о проведении эксперимента, в котором указываются: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дата, время и место проведения эксперимента;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описан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ие эксперимента;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описание результата эксперимента;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отметка об ознакомлении с актом о проведении эксперимента контролируемого лица или его представителя, в случае его присутствия при проведении эксперимента.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4.33. Акт о проведении эксперимента подписывается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 должностными лицами Министерства, проводившими эксперимент.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4.34. Индивидуальный предприниматель, физическое лицо,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</w:rPr>
        <w:t xml:space="preserve">являющийся контролируемым лицом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, вправе представить в Министерство информацию о невозможности присутствия при проведении КНМ в случаях: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забо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левания, связанного с временной нетрудоспособностью;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препятствия, возникшего в результате действия обстоятельств непреодолимой силы.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По результатам рассмотрения указанной информации и документального подтверждения указанных в настоящем пункте обстоятельств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 проведение КНМ переносится Министерством на срок, необходимый для устранения обстоятельств, послуживших поводом для данного обращения индивидуального предпринимателя, физического лица.»;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27) пункт 5.3 дополнить абзацем вторым следующего содержания: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</w:rPr>
        <w:t xml:space="preserve">Установление пунктов контроля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, территорий (акваторий) для постоянного рейда осуществляется приказом Министерства.»;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28) дополнить пунктом 5.3.1 следующего содержания: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«5.3.1. Должностные лица Министерства, уполномоченные на проведение постоянного рейда, оп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ределяются решением о проведении постоянного рейда Министерства.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Пункты контроля, территории (акватории) для постоянного рейда могут быть установлены: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в местах расположения объектов туристского показа, мест остановки экскурсионных автобусов и (или) прилега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ющей к ним территории;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в местах начала туристских маршрутов, в том числе туристских маршрутов, требующих специального сопровождения, и (или) на прилегающей к этим местам территории.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Пункты контроля, территории (акватории) для постоянного рейда не могут нах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одиться в границах особо охраняемых природных территорий.»;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29) в пункте 6.1: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в абзаце первом слова «, если иной порядок оформления акта не установлен» заменить словами «либо не позднее дня, следующего за днем окончания проведения такого мероприятия, если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составление акта на месте проведения такого мероприятия невозможно по причинам, установленным Федеральным законом № 248-ФЗ, если иной порядок оформления акта не установлен Федеральным законом № 248-ФЗ или»;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в абзаце втором слова «либо в случаях, предусмотр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енных Положением» исключить;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дополнить абзацем третьим следующего содержания: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«По результатам контрольной закупки, мониторинговой закупки акт КНМ составляется в течение пяти рабочих дней со дня окончания проведения контрольной закупки, мониторинговой закуп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ки.»;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30) в пункте 6.5 цифры «15» исключить;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31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) в пункте 6.6: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в подпункте 1 слова «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владельцу сервиса объявлений о незамедлительном прекращении распространения информации о предоставляемых услугах средства размещения (гостиничных услугах)» заменить словами «или владельцу сервиса размещения объявлений о незамедлительном прекращении распрос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транения информации о предоставляемых услугах средства размещения (гостиничных услугах), об оказываемых услугах экскурсоводов (гидов), гидов-переводчиков, инструкторов-проводников»;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дополнить подпунктом 5 следующего содержания: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«5) выдавать предписание вла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дельцу агрегатора информации об услугах или владельцу сервиса размещения объявлений о незамедлительном приостановлении возможности приобретать услуги средства размещения, гостиничные услуги на сайте владельца агрегатора информации об услугах или владельца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сервиса размещения объявлений в сети Интернет.»;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32) в пункте 7.3 слова «министром или» исключить;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33) пункт 7.4 после слова «жалоб» дополнить словами «на решения, действия (бездействие) министра»;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eastAsia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34) пункт 7.5 после слова «рассмотрению» дополнить словами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«министром или»;</w:t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35) приложения 1–2 изложить в следующей редакции:</w:t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left="5103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«Приложение 1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left="5103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к Положению о региональном государственном контроле (надзоре) в сфере туристской индустрии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ИНДИКАТОРЫ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риска нарушения обязательных требований при проведении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регионального государственного контроля (надзора)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в сфере туристской индустрии»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1. Размещение в течение 90 календарных дней в информационно-телекоммуникационной сети «Интернет» (далее – сеть Интернет) 10 и более отзывов о ненадлежащем качестве предоставле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ния владельцем средства размещения гостиничных услуг, услуг средств размещения, касающихся площади номеров, их вместимости, круглосуточного холодного и горячего водоснабжения, питьевой воды, естественного освещения, кондиционирования воздуха, наличия полно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го комплекта постельных принадлежностей, полотенец и белья, наличия предприятий питания, соответствующих категории средства размещения, наличия установленного количества общих туалетов и ванных комнат (душевых) для проживающих в номерах без туалета и ванно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й комнаты (душевой), порядка заселения потребителей, порядка обслуживания потребителей.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2. Отсутствие в реестре классифицированных средств размещения сведений о средствах размещения в день получения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</w:rPr>
        <w:t xml:space="preserve">Министерством экономического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</w:rPr>
        <w:t xml:space="preserve">развития Республики Хакасия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</w:rPr>
        <w:t xml:space="preserve">(далее – Министерство)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сведений о том, что с их использованием на территории Республики Хакасия могут оказываться гостиничные услуги или услуги средств размещения, полученных по результатам наблюдения за соблюдением обязательных требований (мониторинга без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опасности), проведенного в отношении контролируемого лица посредством сбора и анализа данных, размещенных в сети Интернет.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3. Наличие в течение трех календарных месяцев в сети 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нтернет, средствах массовой информации и (или) рекламе информации о сдаче в аренду для временного проживания на посуточной (еженедельной) основе более пяти комнат, апартаментов или иных помещений (за исключением жилых помещений), расположенных в одном здан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ии или сооружении и предлагаемых одним арендодателем (рекламодателем).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4. Наличие в реестре классифицированных средств размещения сведений о неоднократном (более двух раз) изменении типа средства размещения в течение одного календарного года лицом, осущест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вляющим предоставление услуг средства размещения, гостиничных услуг.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5. Выявление в течение одного месяца в открытых источниках и подтверждение распространения рекламы, информации об оказании услуг экскурсоводов (гидов), гидов-переводчиков или инструкторов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-проводников лицами, сведения о которых отсутствуют в едином федеральном реестре экскурсоводов (гидов) и гидов-переводчиков, едином федеральном реестре инструкторов-проводников, посредством двух и более контрольных (надзорных) мероприятий без взаимодействи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я с контролируемым лицом.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6. Отсутствие в едином федеральном реестре экскурсоводов (гидов) и гидов-переводчиков сведений об индивидуальном предпринимателе или физическом лице в день получения Министерством сведений о том, что данными лицами могут оказывать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ся услуги экскурсовода (гида) или гида-переводчика, полученных по результатам наблюдения за соблюдением обязательных требований, проведенного в отношении контролируемого лица посредством сбора и анализа данных, размещенных в сети Интернет.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7. Размещение в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течение 90 календарных дней в сети Интернет трех и более отзывов о ненадлежащем качестве оказания контролируемым лицом услуг экскурсовода (гида) или гида-переводчика, связанных с осуществлением деятельности без аттестации, отсутствием нагрудной идентификац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ионной карточки, осуществлением политической агитации, принуждением туристов (экскурсантов) к принятию политических, религиозных или иных убеждений либо отказу от них, разжиганием социальной, расовой, национальной или религиозной розни (в том числе посредс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твом сообщения туристам (экскурсантам) недостоверных сведений об исторических, о национальных, религиозных и культурных традициях народов), побуждением туристов (экскурсантов) к действиям, противоречащим Конституции Российской Федерации, распространением э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кстремистских материалов, материалов, пропагандирующих порнографию, насилие, жестокость и педофилию, содержащих нецензурную брань.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8. Отсутствие в едином федеральном реестре инструкторов-проводников сведений об индивидуальном предпринимателе или физическом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лице в день получения Министерством сведений о том, что данными лицами могут оказываться услуги инструктора-проводника, полученных по результатам наблюдения за соблюдением обязательных требований, проведенного в отношении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контролируемого лица посредством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сбора и анализа данных, размещенных в сети Интернет.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9. Поступление от одного инструктора-проводника двух и более уведомлений о сопровождении туристов (экскурсантов) на двух и более туристских маршрутах одновременно.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10. Наличие в течение трех календарных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месяцев в сети Интернет, средствах массовой информации и (или) рекламе информации о несоответствии заявленной категории горнолыжной трассы или пляжа, используемой в рекламе, названии горнолыжной трассы или пляжа, и деятельности, связанной с использованием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горнолыжной трассы или пляжа, категории горнолыжной трассы или пляжа, указанной в реестре классифицированных горнолыжных трасс, реестре классифицированных пляжей.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left="552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Приложение 2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left="552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к Положению о региональном государственном контроле (надзоре) в сфере туристско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й индустрии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КЛЮЧЕВЫЕ ПОКАЗАТЕЛИ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регионального государственного контроля (надзора) 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в сфере туристской индустрии и их целевые значения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1. Ключевой показатель «Доля информации о предоставлении на территории Республики Хакасия услуг средств размещения, не имеющих действующей классификации, размещенной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</w:rPr>
        <w:t xml:space="preserve"> в сети Интернет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от среднего числа размещенной в сети Интернет информации о предоставлении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услуг средств размещения» (К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1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), рассчитывается по следующей формуле: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К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1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=(1 - С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к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/С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ср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)* 100 %; где: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С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к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– количество средств размещения, сведения о действующей классификации которых содержатся в реестре классифицированных средств размещения, находящихся на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территории Республики Хакасия;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С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ср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– среднее значение количества карточек, предусматривающих информацию о предоставлении услуг средств размещения, находящихся на территории Республики Хакасия, рассчитываемое как сумма количества указанных карточек, размещ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енных не менее чем на трех сайтах владельцев агрегаторов информации об услугах, владельцев сервисов объявлений в сети Интернет, разделенная на количество таких владельцев агрегаторов информации об услугах, владельцев сервисов объявлений, на сайтах которых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 сети Интернет получена соответствующая информация.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Целевым значением ключевого показателя К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1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является сокращение значения соответствующего ключевого показателя за календарный год, не менее чем на 10 процентных пунктов по сравнению с предыдущим календарны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м годом.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В случае если значение ключевого показателя достигает значения ниже 5 %, целевым значением ключевого показателя К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1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является достижение значения указанного ключевого показателя равного «0».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2. Ключевой показатель «Доля лиц, не имеющих соответствующ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ую аттестацию и оказывающих услуги экскурсовода (гида) и гида-переводчика на территории Республики Хакасия, сведения об оказании услуг которых размещены в сети Интернет, от общего количества экскурсоводов (гидов) и гидов-переводчиков» (К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2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), рассчитывается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по следующей формуле: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К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2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= (1 - Э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/Э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общ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)* 100 %; где: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Э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– количество лиц, являющихся аттестованными экскурсоводами (гидами) и гидами-переводчиками, оказывающих услуги на туристских маршрутах, проходящих по территории Республики Хакасия;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Э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общ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– общее кол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ичество лиц, оказывающих услуги экскурсовода (гида) и гида-переводчика на территории Республики Хакасия, сведения об оказании услуг которых размещены в сети Интернет, и лиц, сведения о которых имеются в едином федеральном реестре экскурсоводов (гидов) и ги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дов-переводчиков.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Целевым значением ключевого показателя К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2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является сокращение значения соответствующего ключевого показателя за календарный год, не менее чем на 10 процентных пунктов по сравнению с предыдущим календарным годом.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В случае если значение ключевого показателя достигает значения ниже 5 %, целевым значением ключевого показателя К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2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является достижение значения указанного ключевого показателя равного «0».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3. Ключевой показатель «Количество физических лиц, погибших или пол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учивших травмы при прохождении туристских маршрутов, требующих специального сопровождения, проходящих по территории Республики Хакасия, за календарный год» (К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3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).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Значение ключевого показателя К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3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определяется на основании информации Главного управления Мини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стерства Российской Федерации по делам гражданской обороны, чрезвычайным ситуациям и ликвидации последствий стихийных бедствий по Республике Хакасия по итогам анализа сведений о количестве физических лиц, погибших или получивших травмы при прохождении тури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стских маршрутов, требующих специального сопровождения, по итогам календарного года.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Целевым значением ключевого показателя К</w:t>
      </w:r>
      <w:r>
        <w:rPr>
          <w:rFonts w:ascii="PT Astra Serif" w:hAnsi="PT Astra Serif" w:eastAsia="PT Astra Serif" w:cs="PT Astra Serif"/>
          <w:sz w:val="26"/>
          <w:szCs w:val="26"/>
          <w:vertAlign w:val="subscript"/>
        </w:rPr>
        <w:t xml:space="preserve">3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является ежегодное снижение значения соответствующего ключевого показателя не менее чем на 10 единиц.».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2. Абзацы шестой – одинна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дцатый подпункта 1, подпункт 31 пункта 1 настоящего постановления вступают в силу с 01 марта 2027 года.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cs="PT Astra Serif"/>
          <w:color w:val="000000"/>
          <w:sz w:val="26"/>
          <w:szCs w:val="26"/>
        </w:rPr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widowControl w:val="off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shd w:val="clear" w:color="auto" w:fill="ffffff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shd w:val="clear" w:color="auto" w:fill="ffffff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Глава Республики Хакасия –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shd w:val="clear" w:color="auto" w:fill="ffffff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Председатель Правительства</w:t>
      </w:r>
      <w:r>
        <w:rPr>
          <w:rFonts w:ascii="PT Astra Serif" w:hAnsi="PT Astra Serif" w:cs="PT Astra Serif"/>
          <w:sz w:val="26"/>
          <w:szCs w:val="26"/>
        </w:rPr>
      </w:r>
    </w:p>
    <w:p>
      <w:pPr>
        <w:widowControl w:val="off"/>
        <w:shd w:val="clear" w:color="auto" w:fill="ffffff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Республики Хакасия                                                                                     В. Коновалов</w:t>
      </w:r>
      <w:r>
        <w:rPr>
          <w:rFonts w:ascii="PT Astra Serif" w:hAnsi="PT Astra Serif" w:cs="PT Astra Serif"/>
          <w:sz w:val="26"/>
          <w:szCs w:val="26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Tahoma">
    <w:panose1 w:val="020B0604030504040204"/>
  </w:font>
  <w:font w:name="Liberation Sans">
    <w:panose1 w:val="020B060402020202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1"/>
      <w:widowControl w:val="o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9"/>
      <w:jc w:val="center"/>
    </w:pPr>
    <w:r>
      <w:rPr>
        <w:rFonts w:eastAsia="PT Astra Serif"/>
      </w:rPr>
      <w:fldChar w:fldCharType="begin"/>
    </w:r>
    <w:r>
      <w:rPr>
        <w:rFonts w:eastAsia="PT Astra Serif"/>
      </w:rPr>
      <w:instrText xml:space="preserve">PAGE \* MERGEFORMAT</w:instrText>
    </w:r>
    <w:r>
      <w:rPr>
        <w:rFonts w:eastAsia="PT Astra Serif"/>
      </w:rPr>
      <w:fldChar w:fldCharType="separate"/>
    </w:r>
    <w:r>
      <w:rPr>
        <w:rFonts w:eastAsia="PT Astra Serif"/>
      </w:rPr>
      <w:t xml:space="preserve">6</w:t>
    </w:r>
    <w:r>
      <w:rPr>
        <w:rFonts w:eastAsia="PT Astra Serif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683">
    <w:name w:val="Heading 1"/>
    <w:basedOn w:val="682"/>
    <w:next w:val="682"/>
    <w:link w:val="730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4">
    <w:name w:val="Heading 2"/>
    <w:basedOn w:val="682"/>
    <w:next w:val="682"/>
    <w:link w:val="731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5">
    <w:name w:val="Heading 3"/>
    <w:basedOn w:val="682"/>
    <w:next w:val="682"/>
    <w:link w:val="732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6">
    <w:name w:val="Heading 4"/>
    <w:basedOn w:val="682"/>
    <w:next w:val="682"/>
    <w:link w:val="733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682"/>
    <w:next w:val="682"/>
    <w:link w:val="734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88">
    <w:name w:val="Heading 6"/>
    <w:basedOn w:val="682"/>
    <w:next w:val="682"/>
    <w:link w:val="735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682"/>
    <w:next w:val="682"/>
    <w:link w:val="73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682"/>
    <w:next w:val="682"/>
    <w:link w:val="737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1">
    <w:name w:val="Heading 9"/>
    <w:basedOn w:val="682"/>
    <w:next w:val="682"/>
    <w:link w:val="738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2" w:default="1">
    <w:name w:val="Default Paragraph Font"/>
    <w:uiPriority w:val="1"/>
    <w:semiHidden/>
    <w:unhideWhenUsed/>
  </w:style>
  <w:style w:type="table" w:styleId="69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4" w:default="1">
    <w:name w:val="No List"/>
    <w:uiPriority w:val="99"/>
    <w:semiHidden/>
    <w:unhideWhenUsed/>
  </w:style>
  <w:style w:type="character" w:styleId="695" w:customStyle="1">
    <w:name w:val="Caption Char"/>
    <w:basedOn w:val="692"/>
    <w:uiPriority w:val="35"/>
    <w:rPr>
      <w:b/>
      <w:bCs/>
      <w:color w:val="4f81bd" w:themeColor="accent1"/>
      <w:sz w:val="18"/>
      <w:szCs w:val="18"/>
    </w:rPr>
  </w:style>
  <w:style w:type="table" w:styleId="696" w:customStyle="1">
    <w:name w:val="Plain Table 1"/>
    <w:basedOn w:val="693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7" w:customStyle="1">
    <w:name w:val="Plain Table 2"/>
    <w:basedOn w:val="693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8" w:customStyle="1">
    <w:name w:val="Plain Table 3"/>
    <w:basedOn w:val="69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 w:customStyle="1">
    <w:name w:val="Plain Table 4"/>
    <w:basedOn w:val="69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Plain Table 5"/>
    <w:basedOn w:val="69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01" w:customStyle="1">
    <w:name w:val="Grid Table 1 Light"/>
    <w:basedOn w:val="693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2"/>
    <w:basedOn w:val="69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03" w:customStyle="1">
    <w:name w:val="Grid Table 3"/>
    <w:basedOn w:val="69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04" w:customStyle="1">
    <w:name w:val="Grid Table 4"/>
    <w:basedOn w:val="693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5" w:customStyle="1">
    <w:name w:val="Grid Table 5 Dark"/>
    <w:basedOn w:val="69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706" w:customStyle="1">
    <w:name w:val="Grid Table 6 Colorful"/>
    <w:basedOn w:val="69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07" w:customStyle="1">
    <w:name w:val="Grid Table 7 Colorful"/>
    <w:basedOn w:val="693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708" w:customStyle="1">
    <w:name w:val="List Table 1 Light"/>
    <w:basedOn w:val="69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List Table 2"/>
    <w:basedOn w:val="693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10" w:customStyle="1">
    <w:name w:val="List Table 3"/>
    <w:basedOn w:val="69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 w:customStyle="1">
    <w:name w:val="List Table 4"/>
    <w:basedOn w:val="69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 w:customStyle="1">
    <w:name w:val="List Table 5 Dark"/>
    <w:basedOn w:val="69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13" w:customStyle="1">
    <w:name w:val="List Table 6 Colorful"/>
    <w:basedOn w:val="69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14" w:customStyle="1">
    <w:name w:val="List Table 7 Colorful"/>
    <w:basedOn w:val="693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character" w:styleId="715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16" w:customStyle="1">
    <w:name w:val="Heading 2 Char"/>
    <w:uiPriority w:val="9"/>
    <w:rPr>
      <w:rFonts w:ascii="Arial" w:hAnsi="Arial" w:eastAsia="Arial" w:cs="Arial"/>
      <w:sz w:val="34"/>
    </w:rPr>
  </w:style>
  <w:style w:type="character" w:styleId="717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18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19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20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21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2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23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24" w:customStyle="1">
    <w:name w:val="Title Char"/>
    <w:uiPriority w:val="10"/>
    <w:rPr>
      <w:sz w:val="48"/>
      <w:szCs w:val="48"/>
    </w:rPr>
  </w:style>
  <w:style w:type="character" w:styleId="725" w:customStyle="1">
    <w:name w:val="Subtitle Char"/>
    <w:uiPriority w:val="11"/>
    <w:rPr>
      <w:sz w:val="24"/>
      <w:szCs w:val="24"/>
    </w:rPr>
  </w:style>
  <w:style w:type="character" w:styleId="726" w:customStyle="1">
    <w:name w:val="Quote Char"/>
    <w:uiPriority w:val="29"/>
    <w:rPr>
      <w:i/>
    </w:rPr>
  </w:style>
  <w:style w:type="character" w:styleId="727" w:customStyle="1">
    <w:name w:val="Intense Quote Char"/>
    <w:uiPriority w:val="30"/>
    <w:rPr>
      <w:i/>
    </w:rPr>
  </w:style>
  <w:style w:type="character" w:styleId="728" w:customStyle="1">
    <w:name w:val="Footnote Text Char"/>
    <w:uiPriority w:val="99"/>
    <w:rPr>
      <w:sz w:val="18"/>
    </w:rPr>
  </w:style>
  <w:style w:type="character" w:styleId="729" w:customStyle="1">
    <w:name w:val="Endnote Text Char"/>
    <w:uiPriority w:val="99"/>
    <w:rPr>
      <w:sz w:val="20"/>
    </w:rPr>
  </w:style>
  <w:style w:type="character" w:styleId="730" w:customStyle="1">
    <w:name w:val="Заголовок 1 Знак"/>
    <w:link w:val="683"/>
    <w:uiPriority w:val="9"/>
    <w:rPr>
      <w:rFonts w:ascii="Arial" w:hAnsi="Arial" w:eastAsia="Arial" w:cs="Arial"/>
      <w:sz w:val="40"/>
      <w:szCs w:val="40"/>
    </w:rPr>
  </w:style>
  <w:style w:type="character" w:styleId="731" w:customStyle="1">
    <w:name w:val="Заголовок 2 Знак"/>
    <w:link w:val="684"/>
    <w:uiPriority w:val="9"/>
    <w:rPr>
      <w:rFonts w:ascii="Arial" w:hAnsi="Arial" w:eastAsia="Arial" w:cs="Arial"/>
      <w:sz w:val="34"/>
    </w:rPr>
  </w:style>
  <w:style w:type="character" w:styleId="732" w:customStyle="1">
    <w:name w:val="Заголовок 3 Знак"/>
    <w:link w:val="685"/>
    <w:uiPriority w:val="9"/>
    <w:rPr>
      <w:rFonts w:ascii="Arial" w:hAnsi="Arial" w:eastAsia="Arial" w:cs="Arial"/>
      <w:sz w:val="30"/>
      <w:szCs w:val="30"/>
    </w:rPr>
  </w:style>
  <w:style w:type="character" w:styleId="733" w:customStyle="1">
    <w:name w:val="Заголовок 4 Знак"/>
    <w:link w:val="686"/>
    <w:uiPriority w:val="9"/>
    <w:rPr>
      <w:rFonts w:ascii="Arial" w:hAnsi="Arial" w:eastAsia="Arial" w:cs="Arial"/>
      <w:b/>
      <w:bCs/>
      <w:sz w:val="26"/>
      <w:szCs w:val="26"/>
    </w:rPr>
  </w:style>
  <w:style w:type="character" w:styleId="734" w:customStyle="1">
    <w:name w:val="Заголовок 5 Знак"/>
    <w:link w:val="687"/>
    <w:uiPriority w:val="9"/>
    <w:rPr>
      <w:rFonts w:ascii="Arial" w:hAnsi="Arial" w:eastAsia="Arial" w:cs="Arial"/>
      <w:b/>
      <w:bCs/>
      <w:sz w:val="24"/>
      <w:szCs w:val="24"/>
    </w:rPr>
  </w:style>
  <w:style w:type="character" w:styleId="735" w:customStyle="1">
    <w:name w:val="Заголовок 6 Знак"/>
    <w:link w:val="688"/>
    <w:uiPriority w:val="9"/>
    <w:rPr>
      <w:rFonts w:ascii="Arial" w:hAnsi="Arial" w:eastAsia="Arial" w:cs="Arial"/>
      <w:b/>
      <w:bCs/>
      <w:sz w:val="22"/>
      <w:szCs w:val="22"/>
    </w:rPr>
  </w:style>
  <w:style w:type="character" w:styleId="736" w:customStyle="1">
    <w:name w:val="Заголовок 7 Знак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7" w:customStyle="1">
    <w:name w:val="Заголовок 8 Знак"/>
    <w:link w:val="690"/>
    <w:uiPriority w:val="9"/>
    <w:rPr>
      <w:rFonts w:ascii="Arial" w:hAnsi="Arial" w:eastAsia="Arial" w:cs="Arial"/>
      <w:i/>
      <w:iCs/>
      <w:sz w:val="22"/>
      <w:szCs w:val="22"/>
    </w:rPr>
  </w:style>
  <w:style w:type="character" w:styleId="738" w:customStyle="1">
    <w:name w:val="Заголовок 9 Знак"/>
    <w:link w:val="691"/>
    <w:uiPriority w:val="9"/>
    <w:rPr>
      <w:rFonts w:ascii="Arial" w:hAnsi="Arial" w:eastAsia="Arial" w:cs="Arial"/>
      <w:i/>
      <w:iCs/>
      <w:sz w:val="21"/>
      <w:szCs w:val="21"/>
    </w:rPr>
  </w:style>
  <w:style w:type="paragraph" w:styleId="739">
    <w:name w:val="List Paragraph"/>
    <w:basedOn w:val="682"/>
    <w:uiPriority w:val="34"/>
    <w:qFormat/>
    <w:pPr>
      <w:ind w:left="720"/>
      <w:contextualSpacing/>
    </w:pPr>
  </w:style>
  <w:style w:type="paragraph" w:styleId="740">
    <w:name w:val="No Spacing"/>
    <w:uiPriority w:val="1"/>
    <w:qFormat/>
    <w:rPr>
      <w:lang w:eastAsia="zh-CN"/>
    </w:rPr>
  </w:style>
  <w:style w:type="paragraph" w:styleId="741">
    <w:name w:val="Title"/>
    <w:basedOn w:val="682"/>
    <w:next w:val="682"/>
    <w:link w:val="742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42" w:customStyle="1">
    <w:name w:val="Название Знак"/>
    <w:link w:val="741"/>
    <w:uiPriority w:val="10"/>
    <w:rPr>
      <w:sz w:val="48"/>
      <w:szCs w:val="48"/>
    </w:rPr>
  </w:style>
  <w:style w:type="paragraph" w:styleId="743">
    <w:name w:val="Subtitle"/>
    <w:basedOn w:val="682"/>
    <w:next w:val="682"/>
    <w:link w:val="744"/>
    <w:uiPriority w:val="11"/>
    <w:qFormat/>
    <w:pPr>
      <w:spacing w:before="200" w:after="200"/>
    </w:pPr>
  </w:style>
  <w:style w:type="character" w:styleId="744" w:customStyle="1">
    <w:name w:val="Подзаголовок Знак"/>
    <w:link w:val="743"/>
    <w:uiPriority w:val="11"/>
    <w:rPr>
      <w:sz w:val="24"/>
      <w:szCs w:val="24"/>
    </w:rPr>
  </w:style>
  <w:style w:type="paragraph" w:styleId="745">
    <w:name w:val="Quote"/>
    <w:basedOn w:val="682"/>
    <w:next w:val="682"/>
    <w:link w:val="746"/>
    <w:uiPriority w:val="29"/>
    <w:qFormat/>
    <w:pPr>
      <w:ind w:left="720" w:right="720"/>
    </w:pPr>
    <w:rPr>
      <w:i/>
    </w:rPr>
  </w:style>
  <w:style w:type="character" w:styleId="746" w:customStyle="1">
    <w:name w:val="Цитата 2 Знак"/>
    <w:link w:val="745"/>
    <w:uiPriority w:val="29"/>
    <w:rPr>
      <w:i/>
    </w:rPr>
  </w:style>
  <w:style w:type="paragraph" w:styleId="747">
    <w:name w:val="Intense Quote"/>
    <w:basedOn w:val="682"/>
    <w:next w:val="682"/>
    <w:link w:val="748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748" w:customStyle="1">
    <w:name w:val="Выделенная цитата Знак"/>
    <w:link w:val="747"/>
    <w:uiPriority w:val="30"/>
    <w:rPr>
      <w:i/>
    </w:rPr>
  </w:style>
  <w:style w:type="paragraph" w:styleId="749">
    <w:name w:val="Header"/>
    <w:basedOn w:val="682"/>
    <w:link w:val="902"/>
    <w:uiPriority w:val="99"/>
    <w:unhideWhenUsed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50" w:customStyle="1">
    <w:name w:val="Header Char"/>
    <w:uiPriority w:val="99"/>
  </w:style>
  <w:style w:type="paragraph" w:styleId="751">
    <w:name w:val="Footer"/>
    <w:basedOn w:val="682"/>
    <w:link w:val="903"/>
    <w:uiPriority w:val="99"/>
    <w:unhideWhenUsed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52" w:customStyle="1">
    <w:name w:val="Footer Char"/>
    <w:uiPriority w:val="99"/>
  </w:style>
  <w:style w:type="paragraph" w:styleId="753">
    <w:name w:val="Caption"/>
    <w:basedOn w:val="682"/>
    <w:next w:val="682"/>
    <w:link w:val="754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54" w:customStyle="1">
    <w:name w:val="Название объекта Знак"/>
    <w:link w:val="753"/>
    <w:uiPriority w:val="99"/>
  </w:style>
  <w:style w:type="table" w:styleId="755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6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 w:customStyle="1">
    <w:name w:val="Таблица простая 1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 w:customStyle="1">
    <w:name w:val="Таблица простая 21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 w:customStyle="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81">
    <w:name w:val="Hyperlink"/>
    <w:uiPriority w:val="99"/>
    <w:unhideWhenUsed/>
    <w:rPr>
      <w:color w:val="0000ff"/>
      <w:u w:val="single"/>
    </w:rPr>
  </w:style>
  <w:style w:type="paragraph" w:styleId="882">
    <w:name w:val="footnote text"/>
    <w:basedOn w:val="682"/>
    <w:link w:val="883"/>
    <w:uiPriority w:val="99"/>
    <w:semiHidden/>
    <w:unhideWhenUsed/>
    <w:pPr>
      <w:spacing w:after="40"/>
    </w:pPr>
    <w:rPr>
      <w:sz w:val="18"/>
    </w:rPr>
  </w:style>
  <w:style w:type="character" w:styleId="883" w:customStyle="1">
    <w:name w:val="Текст сноски Знак"/>
    <w:link w:val="882"/>
    <w:uiPriority w:val="99"/>
    <w:rPr>
      <w:sz w:val="18"/>
    </w:rPr>
  </w:style>
  <w:style w:type="character" w:styleId="884">
    <w:name w:val="footnote reference"/>
    <w:uiPriority w:val="99"/>
    <w:unhideWhenUsed/>
    <w:rPr>
      <w:vertAlign w:val="superscript"/>
    </w:rPr>
  </w:style>
  <w:style w:type="paragraph" w:styleId="885">
    <w:name w:val="endnote text"/>
    <w:basedOn w:val="682"/>
    <w:link w:val="886"/>
    <w:uiPriority w:val="99"/>
    <w:semiHidden/>
    <w:unhideWhenUsed/>
    <w:rPr>
      <w:sz w:val="20"/>
    </w:rPr>
  </w:style>
  <w:style w:type="character" w:styleId="886" w:customStyle="1">
    <w:name w:val="Текст концевой сноски Знак"/>
    <w:link w:val="885"/>
    <w:uiPriority w:val="99"/>
    <w:rPr>
      <w:sz w:val="20"/>
    </w:rPr>
  </w:style>
  <w:style w:type="character" w:styleId="887">
    <w:name w:val="endnote reference"/>
    <w:uiPriority w:val="99"/>
    <w:semiHidden/>
    <w:unhideWhenUsed/>
    <w:rPr>
      <w:vertAlign w:val="superscript"/>
    </w:rPr>
  </w:style>
  <w:style w:type="paragraph" w:styleId="888">
    <w:name w:val="toc 1"/>
    <w:basedOn w:val="682"/>
    <w:next w:val="682"/>
    <w:uiPriority w:val="39"/>
    <w:unhideWhenUsed/>
    <w:pPr>
      <w:spacing w:after="57"/>
    </w:pPr>
  </w:style>
  <w:style w:type="paragraph" w:styleId="889">
    <w:name w:val="toc 2"/>
    <w:basedOn w:val="682"/>
    <w:next w:val="682"/>
    <w:uiPriority w:val="39"/>
    <w:unhideWhenUsed/>
    <w:pPr>
      <w:spacing w:after="57"/>
      <w:ind w:left="283"/>
    </w:pPr>
  </w:style>
  <w:style w:type="paragraph" w:styleId="890">
    <w:name w:val="toc 3"/>
    <w:basedOn w:val="682"/>
    <w:next w:val="682"/>
    <w:uiPriority w:val="39"/>
    <w:unhideWhenUsed/>
    <w:pPr>
      <w:spacing w:after="57"/>
      <w:ind w:left="567"/>
    </w:pPr>
  </w:style>
  <w:style w:type="paragraph" w:styleId="891">
    <w:name w:val="toc 4"/>
    <w:basedOn w:val="682"/>
    <w:next w:val="682"/>
    <w:uiPriority w:val="39"/>
    <w:unhideWhenUsed/>
    <w:pPr>
      <w:spacing w:after="57"/>
      <w:ind w:left="850"/>
    </w:pPr>
  </w:style>
  <w:style w:type="paragraph" w:styleId="892">
    <w:name w:val="toc 5"/>
    <w:basedOn w:val="682"/>
    <w:next w:val="682"/>
    <w:uiPriority w:val="39"/>
    <w:unhideWhenUsed/>
    <w:pPr>
      <w:spacing w:after="57"/>
      <w:ind w:left="1134"/>
    </w:pPr>
  </w:style>
  <w:style w:type="paragraph" w:styleId="893">
    <w:name w:val="toc 6"/>
    <w:basedOn w:val="682"/>
    <w:next w:val="682"/>
    <w:uiPriority w:val="39"/>
    <w:unhideWhenUsed/>
    <w:pPr>
      <w:spacing w:after="57"/>
      <w:ind w:left="1417"/>
    </w:pPr>
  </w:style>
  <w:style w:type="paragraph" w:styleId="894">
    <w:name w:val="toc 7"/>
    <w:basedOn w:val="682"/>
    <w:next w:val="682"/>
    <w:uiPriority w:val="39"/>
    <w:unhideWhenUsed/>
    <w:pPr>
      <w:spacing w:after="57"/>
      <w:ind w:left="1701"/>
    </w:pPr>
  </w:style>
  <w:style w:type="paragraph" w:styleId="895">
    <w:name w:val="toc 8"/>
    <w:basedOn w:val="682"/>
    <w:next w:val="682"/>
    <w:uiPriority w:val="39"/>
    <w:unhideWhenUsed/>
    <w:pPr>
      <w:spacing w:after="57"/>
      <w:ind w:left="1984"/>
    </w:pPr>
  </w:style>
  <w:style w:type="paragraph" w:styleId="896">
    <w:name w:val="toc 9"/>
    <w:basedOn w:val="682"/>
    <w:next w:val="682"/>
    <w:uiPriority w:val="39"/>
    <w:unhideWhenUsed/>
    <w:pPr>
      <w:spacing w:after="57"/>
      <w:ind w:left="2268"/>
    </w:pPr>
  </w:style>
  <w:style w:type="paragraph" w:styleId="897">
    <w:name w:val="TOC Heading"/>
    <w:uiPriority w:val="39"/>
    <w:unhideWhenUsed/>
    <w:rPr>
      <w:lang w:eastAsia="zh-CN"/>
    </w:rPr>
  </w:style>
  <w:style w:type="paragraph" w:styleId="898">
    <w:name w:val="table of figures"/>
    <w:basedOn w:val="682"/>
    <w:next w:val="682"/>
    <w:uiPriority w:val="99"/>
    <w:unhideWhenUsed/>
  </w:style>
  <w:style w:type="paragraph" w:styleId="899">
    <w:name w:val="Balloon Text"/>
    <w:basedOn w:val="682"/>
    <w:semiHidden/>
    <w:rPr>
      <w:rFonts w:ascii="Tahoma" w:hAnsi="Tahoma" w:cs="Tahoma"/>
      <w:sz w:val="16"/>
      <w:szCs w:val="16"/>
    </w:rPr>
  </w:style>
  <w:style w:type="paragraph" w:styleId="900" w:customStyle="1">
    <w:name w:val="ConsPlusTitle"/>
    <w:pPr>
      <w:widowControl w:val="off"/>
    </w:pPr>
    <w:rPr>
      <w:rFonts w:ascii="Times New Roman" w:hAnsi="Times New Roman" w:eastAsia="Times New Roman"/>
      <w:b/>
      <w:bCs/>
      <w:sz w:val="24"/>
      <w:szCs w:val="24"/>
    </w:rPr>
  </w:style>
  <w:style w:type="paragraph" w:styleId="901" w:customStyle="1">
    <w:name w:val="ConsPlusCell"/>
    <w:pPr>
      <w:widowControl w:val="off"/>
    </w:pPr>
    <w:rPr>
      <w:rFonts w:ascii="Times New Roman" w:hAnsi="Times New Roman" w:eastAsia="Times New Roman"/>
      <w:sz w:val="24"/>
      <w:szCs w:val="24"/>
    </w:rPr>
  </w:style>
  <w:style w:type="character" w:styleId="902" w:customStyle="1">
    <w:name w:val="Верхний колонтитул Знак"/>
    <w:link w:val="749"/>
    <w:uiPriority w:val="99"/>
    <w:rPr>
      <w:rFonts w:ascii="Times New Roman" w:hAnsi="Times New Roman" w:eastAsia="Times New Roman"/>
      <w:sz w:val="24"/>
      <w:szCs w:val="24"/>
    </w:rPr>
  </w:style>
  <w:style w:type="character" w:styleId="903" w:customStyle="1">
    <w:name w:val="Нижний колонтитул Знак"/>
    <w:link w:val="751"/>
    <w:uiPriority w:val="99"/>
    <w:rPr>
      <w:rFonts w:ascii="Times New Roman" w:hAnsi="Times New Roman" w:eastAsia="Times New Roman"/>
      <w:sz w:val="24"/>
      <w:szCs w:val="24"/>
    </w:rPr>
  </w:style>
  <w:style w:type="paragraph" w:styleId="904" w:customStyle="1">
    <w:name w:val="ConsPlusNormal"/>
    <w:pPr>
      <w:widowControl w:val="off"/>
    </w:pPr>
    <w:rPr>
      <w:rFonts w:eastAsia="Times New Roman" w:cs="Calibri"/>
      <w:sz w:val="22"/>
    </w:rPr>
  </w:style>
  <w:style w:type="paragraph" w:styleId="905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906">
    <w:name w:val="Body Text Indent"/>
    <w:basedOn w:val="682"/>
    <w:link w:val="907"/>
    <w:uiPriority w:val="99"/>
    <w:unhideWhenUsed/>
    <w:pPr>
      <w:ind w:firstLine="709"/>
      <w:jc w:val="both"/>
    </w:pPr>
    <w:rPr>
      <w:rFonts w:eastAsia="Calibri"/>
      <w:sz w:val="26"/>
      <w:szCs w:val="26"/>
      <w:lang w:val="en-US" w:eastAsia="en-US"/>
    </w:rPr>
  </w:style>
  <w:style w:type="character" w:styleId="907" w:customStyle="1">
    <w:name w:val="Основной текст с отступом Знак"/>
    <w:link w:val="906"/>
    <w:uiPriority w:val="99"/>
    <w:rPr>
      <w:rFonts w:ascii="Times New Roman" w:hAnsi="Times New Roman"/>
      <w:sz w:val="26"/>
      <w:szCs w:val="26"/>
    </w:rPr>
  </w:style>
  <w:style w:type="character" w:styleId="908">
    <w:name w:val="annotation reference"/>
    <w:uiPriority w:val="99"/>
    <w:semiHidden/>
    <w:unhideWhenUsed/>
    <w:rPr>
      <w:sz w:val="16"/>
      <w:szCs w:val="16"/>
    </w:rPr>
  </w:style>
  <w:style w:type="paragraph" w:styleId="909">
    <w:name w:val="annotation text"/>
    <w:basedOn w:val="682"/>
    <w:link w:val="910"/>
    <w:uiPriority w:val="99"/>
    <w:semiHidden/>
    <w:unhideWhenUsed/>
    <w:rPr>
      <w:sz w:val="20"/>
      <w:szCs w:val="20"/>
    </w:rPr>
  </w:style>
  <w:style w:type="character" w:styleId="910" w:customStyle="1">
    <w:name w:val="Текст примечания Знак"/>
    <w:link w:val="909"/>
    <w:uiPriority w:val="99"/>
    <w:semiHidden/>
    <w:rPr>
      <w:rFonts w:ascii="Times New Roman" w:hAnsi="Times New Roman" w:eastAsia="Times New Roman"/>
      <w:lang w:eastAsia="ru-RU"/>
    </w:rPr>
  </w:style>
  <w:style w:type="paragraph" w:styleId="911">
    <w:name w:val="annotation subject"/>
    <w:basedOn w:val="909"/>
    <w:next w:val="909"/>
    <w:link w:val="912"/>
    <w:uiPriority w:val="99"/>
    <w:semiHidden/>
    <w:unhideWhenUsed/>
    <w:rPr>
      <w:b/>
      <w:bCs/>
    </w:rPr>
  </w:style>
  <w:style w:type="character" w:styleId="912" w:customStyle="1">
    <w:name w:val="Тема примечания Знак"/>
    <w:link w:val="911"/>
    <w:uiPriority w:val="99"/>
    <w:semiHidden/>
    <w:rPr>
      <w:rFonts w:ascii="Times New Roman" w:hAnsi="Times New Roman" w:eastAsia="Times New Roman"/>
      <w:b/>
      <w:bCs/>
      <w:lang w:eastAsia="ru-RU"/>
    </w:rPr>
  </w:style>
  <w:style w:type="paragraph" w:styleId="913">
    <w:name w:val="Revision"/>
    <w:hidden/>
    <w:uiPriority w:val="99"/>
    <w:semiHidden/>
    <w:rPr>
      <w:rFonts w:ascii="Times New Roman" w:hAnsi="Times New Roman" w:eastAsia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Home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Правил предоставления субсидий из республиканского бюджета Республики Хакасия бюджетам муниципальных образований Республики Хакасия на проведение мероприятий по формированию в Республике Хакасия сети базовых образовательных учреждений, реа</dc:title>
  <dc:creator>Шавыркина</dc:creator>
  <cp:lastModifiedBy>user</cp:lastModifiedBy>
  <cp:revision>3</cp:revision>
  <dcterms:created xsi:type="dcterms:W3CDTF">2026-09-11T02:34:00Z</dcterms:created>
  <dcterms:modified xsi:type="dcterms:W3CDTF">2026-09-11T08:15:48Z</dcterms:modified>
  <cp:version>917504</cp:version>
</cp:coreProperties>
</file>